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39E" w:rsidRPr="0084439D" w:rsidRDefault="0054239E">
      <w:pPr>
        <w:pStyle w:val="a3"/>
        <w:rPr>
          <w:b/>
          <w:sz w:val="44"/>
          <w:szCs w:val="44"/>
        </w:rPr>
      </w:pPr>
      <w:r w:rsidRPr="0084439D">
        <w:rPr>
          <w:b/>
          <w:sz w:val="44"/>
          <w:szCs w:val="44"/>
        </w:rPr>
        <w:t>АНТИТЕРРОРИСТИЧЕСКАЯ ПАМЯТКА</w:t>
      </w:r>
    </w:p>
    <w:p w:rsidR="0054239E" w:rsidRDefault="0054239E">
      <w:pPr>
        <w:pStyle w:val="a3"/>
        <w:rPr>
          <w:sz w:val="24"/>
        </w:rPr>
      </w:pPr>
    </w:p>
    <w:p w:rsidR="0054239E" w:rsidRPr="0084439D" w:rsidRDefault="0054239E">
      <w:pPr>
        <w:pStyle w:val="a3"/>
        <w:rPr>
          <w:b/>
          <w:color w:val="C00000"/>
          <w:szCs w:val="28"/>
        </w:rPr>
      </w:pPr>
      <w:r w:rsidRPr="0084439D">
        <w:rPr>
          <w:b/>
          <w:color w:val="C00000"/>
          <w:szCs w:val="28"/>
        </w:rPr>
        <w:t>Данная памятка предназначена для инструктирования сотрудников.</w:t>
      </w:r>
    </w:p>
    <w:p w:rsidR="0054239E" w:rsidRPr="0084439D" w:rsidRDefault="0054239E">
      <w:pPr>
        <w:pStyle w:val="a3"/>
        <w:rPr>
          <w:b/>
          <w:bCs/>
          <w:color w:val="C00000"/>
          <w:szCs w:val="28"/>
        </w:rPr>
      </w:pPr>
      <w:r w:rsidRPr="0084439D">
        <w:rPr>
          <w:b/>
          <w:bCs/>
          <w:color w:val="C00000"/>
          <w:szCs w:val="28"/>
        </w:rPr>
        <w:t xml:space="preserve"> Не расклеивать на стенах, избегать ознакомления посторонних лиц.</w:t>
      </w:r>
    </w:p>
    <w:p w:rsidR="0054239E" w:rsidRDefault="0054239E">
      <w:pPr>
        <w:jc w:val="center"/>
        <w:rPr>
          <w:sz w:val="28"/>
          <w:lang w:val="ru-RU"/>
        </w:rPr>
      </w:pP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>1. При обнаружении взрывного устройства или иного потенциально опасного предмета следует принять необходимые незамедлительные меры для: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>- информирования правоохранительных органов;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>- эвакуации людей из зоны вероятного поражения;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>- ограничения доступа в зону поражения посторонних лиц до прибытия правоохранительных органов.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>Эвакуация из зданий и помещений должна быть организованной и незамедлительной, как без паники, так и без «юмористического» отношения к происходящему.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>2. При нахождении неподалеку от места совершенного взрыва или иного теракта необходимо также принять незамедлительные меры для информирования правоохранительных органов, эвакуации людей из зоны поражения и ограничения доступа в зону поражения посторонних лиц.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 xml:space="preserve">3. При </w:t>
      </w:r>
      <w:proofErr w:type="gramStart"/>
      <w:r w:rsidRPr="0084439D">
        <w:rPr>
          <w:color w:val="002060"/>
        </w:rPr>
        <w:t>поступлении  анонимного</w:t>
      </w:r>
      <w:proofErr w:type="gramEnd"/>
      <w:r w:rsidRPr="0084439D">
        <w:rPr>
          <w:color w:val="002060"/>
        </w:rPr>
        <w:t xml:space="preserve"> звонка  от неизвестного лица с угрозой  исполнения террористического акта необходимо</w:t>
      </w:r>
      <w:r w:rsidR="00515B3E" w:rsidRPr="0084439D">
        <w:rPr>
          <w:color w:val="002060"/>
        </w:rPr>
        <w:t>,</w:t>
      </w:r>
      <w:r w:rsidRPr="0084439D">
        <w:rPr>
          <w:color w:val="002060"/>
        </w:rPr>
        <w:t xml:space="preserve"> прежде всего попытаться завязать беседу (спокойным  будничным голосом, как будто подобные звонки вы  принимаете  постоянно  несколько раз в день и вам это уже  начинает надоедать), в которой при наличии возможности выяснить  следующие  обстоятельства: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>- уточнить время и место предполагаемого теракта (в том числе конкретное место закладки средства совершения преступления;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 xml:space="preserve">- выяснить тип и мощность заряда, </w:t>
      </w:r>
      <w:proofErr w:type="gramStart"/>
      <w:r w:rsidRPr="0084439D">
        <w:rPr>
          <w:color w:val="002060"/>
        </w:rPr>
        <w:t>компоненты  ВУ</w:t>
      </w:r>
      <w:proofErr w:type="gramEnd"/>
      <w:r w:rsidRPr="0084439D">
        <w:rPr>
          <w:color w:val="002060"/>
        </w:rPr>
        <w:t xml:space="preserve"> (граната,  СВУ  с часовым механизмом; в качестве ВВ тротил, пластит  или гексоген). 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 xml:space="preserve">- пол, возраст, возможная национальность, </w:t>
      </w:r>
      <w:proofErr w:type="gramStart"/>
      <w:r w:rsidRPr="0084439D">
        <w:rPr>
          <w:color w:val="002060"/>
        </w:rPr>
        <w:t>вменяемость  анонима</w:t>
      </w:r>
      <w:proofErr w:type="gramEnd"/>
      <w:r w:rsidRPr="0084439D">
        <w:rPr>
          <w:color w:val="002060"/>
        </w:rPr>
        <w:t xml:space="preserve"> (в том числе возможное алкогольное опьянение) и причину,  побудившую  его позвонить.  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proofErr w:type="gramStart"/>
      <w:r w:rsidRPr="0084439D">
        <w:rPr>
          <w:color w:val="002060"/>
        </w:rPr>
        <w:t>Выслушав  анонима</w:t>
      </w:r>
      <w:proofErr w:type="gramEnd"/>
      <w:r w:rsidRPr="0084439D">
        <w:rPr>
          <w:color w:val="002060"/>
        </w:rPr>
        <w:t xml:space="preserve">, необходимо сообщить ему,  что полученную информацию вы не будете никому передавать и тем более принимать какие либо меры; на  телефоны организации пусть он больше не звонит, это  дело милиции, пусть звонит по “02”. 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 xml:space="preserve">Необходимо </w:t>
      </w:r>
      <w:proofErr w:type="gramStart"/>
      <w:r w:rsidRPr="0084439D">
        <w:rPr>
          <w:color w:val="002060"/>
        </w:rPr>
        <w:t>отметить  время</w:t>
      </w:r>
      <w:proofErr w:type="gramEnd"/>
      <w:r w:rsidRPr="0084439D">
        <w:rPr>
          <w:color w:val="002060"/>
        </w:rPr>
        <w:t xml:space="preserve">  разговора, по линии “02”  сообщить о</w:t>
      </w:r>
      <w:r w:rsidR="00515B3E" w:rsidRPr="0084439D">
        <w:rPr>
          <w:color w:val="002060"/>
        </w:rPr>
        <w:t>б</w:t>
      </w:r>
      <w:r w:rsidRPr="0084439D">
        <w:rPr>
          <w:color w:val="002060"/>
        </w:rPr>
        <w:t xml:space="preserve"> анонимном  звонке,  доложить  руководству  организации.  Организованно </w:t>
      </w:r>
      <w:proofErr w:type="gramStart"/>
      <w:r w:rsidRPr="0084439D">
        <w:rPr>
          <w:color w:val="002060"/>
        </w:rPr>
        <w:t>провести  эвакуацию</w:t>
      </w:r>
      <w:proofErr w:type="gramEnd"/>
      <w:r w:rsidRPr="0084439D">
        <w:rPr>
          <w:color w:val="002060"/>
        </w:rPr>
        <w:t xml:space="preserve"> сотрудников  и  ждать приезда специальных служб.  Обнаруженные бесхозные </w:t>
      </w:r>
      <w:proofErr w:type="gramStart"/>
      <w:r w:rsidRPr="0084439D">
        <w:rPr>
          <w:color w:val="002060"/>
        </w:rPr>
        <w:t>предметы  трогать</w:t>
      </w:r>
      <w:proofErr w:type="gramEnd"/>
      <w:r w:rsidRPr="0084439D">
        <w:rPr>
          <w:color w:val="002060"/>
        </w:rPr>
        <w:t xml:space="preserve"> нельзя.  </w:t>
      </w:r>
    </w:p>
    <w:p w:rsidR="0054239E" w:rsidRPr="0084439D" w:rsidRDefault="0054239E">
      <w:pPr>
        <w:pStyle w:val="a4"/>
        <w:ind w:firstLine="900"/>
        <w:rPr>
          <w:color w:val="002060"/>
        </w:rPr>
      </w:pPr>
      <w:r w:rsidRPr="0084439D">
        <w:rPr>
          <w:color w:val="002060"/>
        </w:rPr>
        <w:t xml:space="preserve">Далее, в спокойной обстановке, необходимо вспомнить для последующего информирования правоохранительных </w:t>
      </w:r>
      <w:proofErr w:type="gramStart"/>
      <w:r w:rsidRPr="0084439D">
        <w:rPr>
          <w:color w:val="002060"/>
        </w:rPr>
        <w:t>органов  особенности</w:t>
      </w:r>
      <w:proofErr w:type="gramEnd"/>
      <w:r w:rsidRPr="0084439D">
        <w:rPr>
          <w:color w:val="002060"/>
        </w:rPr>
        <w:t xml:space="preserve">  телефонного звонка (местный или междугородный), а также голоса и речи  звонившего:</w:t>
      </w:r>
    </w:p>
    <w:p w:rsidR="0054239E" w:rsidRPr="0084439D" w:rsidRDefault="0054239E">
      <w:pPr>
        <w:pStyle w:val="a4"/>
        <w:numPr>
          <w:ilvl w:val="0"/>
          <w:numId w:val="1"/>
        </w:numPr>
        <w:rPr>
          <w:color w:val="002060"/>
        </w:rPr>
      </w:pPr>
      <w:r w:rsidRPr="0084439D">
        <w:rPr>
          <w:color w:val="002060"/>
        </w:rPr>
        <w:t>сила и тембр голоса;</w:t>
      </w:r>
    </w:p>
    <w:p w:rsidR="0054239E" w:rsidRPr="0084439D" w:rsidRDefault="0054239E">
      <w:pPr>
        <w:pStyle w:val="a4"/>
        <w:numPr>
          <w:ilvl w:val="0"/>
          <w:numId w:val="1"/>
        </w:numPr>
        <w:rPr>
          <w:color w:val="002060"/>
        </w:rPr>
      </w:pPr>
      <w:r w:rsidRPr="0084439D">
        <w:rPr>
          <w:color w:val="002060"/>
        </w:rPr>
        <w:t>скорость, отчетливость и иные возможные особенности речи, акцент;</w:t>
      </w:r>
    </w:p>
    <w:p w:rsidR="0054239E" w:rsidRPr="0084439D" w:rsidRDefault="0054239E">
      <w:pPr>
        <w:pStyle w:val="a4"/>
        <w:numPr>
          <w:ilvl w:val="0"/>
          <w:numId w:val="1"/>
        </w:numPr>
        <w:rPr>
          <w:color w:val="002060"/>
        </w:rPr>
      </w:pPr>
      <w:r w:rsidRPr="0084439D">
        <w:rPr>
          <w:color w:val="002060"/>
        </w:rPr>
        <w:lastRenderedPageBreak/>
        <w:t>манера изложения (спокойная, раздраженная, рассудительная, безрассудная, логически завершенная, непоследовательная, продуманная, эмоциональная, серьезная, шутливая, возбужденная);</w:t>
      </w:r>
    </w:p>
    <w:p w:rsidR="0054239E" w:rsidRPr="0084439D" w:rsidRDefault="0054239E">
      <w:pPr>
        <w:pStyle w:val="a4"/>
        <w:numPr>
          <w:ilvl w:val="0"/>
          <w:numId w:val="1"/>
        </w:numPr>
        <w:rPr>
          <w:color w:val="002060"/>
        </w:rPr>
      </w:pPr>
      <w:r w:rsidRPr="0084439D">
        <w:rPr>
          <w:color w:val="002060"/>
        </w:rPr>
        <w:t xml:space="preserve">стиль изложения (изысканный, хороший, </w:t>
      </w:r>
      <w:proofErr w:type="gramStart"/>
      <w:r w:rsidRPr="0084439D">
        <w:rPr>
          <w:color w:val="002060"/>
        </w:rPr>
        <w:t>посредственный,  скудный</w:t>
      </w:r>
      <w:proofErr w:type="gramEnd"/>
      <w:r w:rsidRPr="0084439D">
        <w:rPr>
          <w:color w:val="002060"/>
        </w:rPr>
        <w:t>;  наличествуют сквернословие, слова-паразиты);</w:t>
      </w:r>
    </w:p>
    <w:p w:rsidR="0054239E" w:rsidRPr="0084439D" w:rsidRDefault="0054239E">
      <w:pPr>
        <w:pStyle w:val="a4"/>
        <w:numPr>
          <w:ilvl w:val="0"/>
          <w:numId w:val="1"/>
        </w:numPr>
        <w:rPr>
          <w:color w:val="002060"/>
        </w:rPr>
      </w:pPr>
      <w:r w:rsidRPr="0084439D">
        <w:rPr>
          <w:color w:val="002060"/>
        </w:rPr>
        <w:t xml:space="preserve">характер </w:t>
      </w:r>
      <w:proofErr w:type="gramStart"/>
      <w:r w:rsidRPr="0084439D">
        <w:rPr>
          <w:color w:val="002060"/>
        </w:rPr>
        <w:t>шумов  на</w:t>
      </w:r>
      <w:proofErr w:type="gramEnd"/>
      <w:r w:rsidRPr="0084439D">
        <w:rPr>
          <w:color w:val="002060"/>
        </w:rPr>
        <w:t xml:space="preserve">  заднем  плане (уличное  движение, оргтехника в  офисе,  заводской  шум,  транспорт, животные,  музыка, голоса и пр.).   </w:t>
      </w:r>
    </w:p>
    <w:p w:rsidR="0054239E" w:rsidRPr="0084439D" w:rsidRDefault="0054239E">
      <w:pPr>
        <w:pStyle w:val="20"/>
        <w:ind w:firstLine="900"/>
        <w:rPr>
          <w:color w:val="002060"/>
          <w:sz w:val="28"/>
          <w:szCs w:val="28"/>
        </w:rPr>
      </w:pPr>
      <w:r w:rsidRPr="0084439D">
        <w:rPr>
          <w:color w:val="002060"/>
          <w:sz w:val="28"/>
          <w:szCs w:val="28"/>
        </w:rPr>
        <w:t>При получении письменных анонимных сообщений террористического характера необходимо передать их для проведения необходимых мероприятий в правоохранительные органы.</w:t>
      </w:r>
    </w:p>
    <w:p w:rsidR="0054239E" w:rsidRPr="0084439D" w:rsidRDefault="0054239E">
      <w:pPr>
        <w:pStyle w:val="20"/>
        <w:ind w:firstLine="900"/>
        <w:rPr>
          <w:color w:val="002060"/>
          <w:sz w:val="28"/>
          <w:szCs w:val="28"/>
        </w:rPr>
      </w:pPr>
      <w:r w:rsidRPr="0084439D">
        <w:rPr>
          <w:color w:val="002060"/>
          <w:sz w:val="28"/>
          <w:szCs w:val="28"/>
        </w:rPr>
        <w:t>4. В случае захвата вас в качестве заложника:</w:t>
      </w:r>
    </w:p>
    <w:p w:rsidR="0054239E" w:rsidRPr="0084439D" w:rsidRDefault="0054239E">
      <w:pPr>
        <w:pStyle w:val="20"/>
        <w:ind w:firstLine="900"/>
        <w:rPr>
          <w:color w:val="002060"/>
          <w:sz w:val="28"/>
          <w:szCs w:val="28"/>
        </w:rPr>
      </w:pPr>
      <w:r w:rsidRPr="0084439D">
        <w:rPr>
          <w:color w:val="002060"/>
          <w:sz w:val="28"/>
          <w:szCs w:val="28"/>
        </w:rPr>
        <w:t>- не провоцировать преступника на крайние действия, постараться сохранять спокойствие и выдержку, не допускать паники и истерики, не предпринимать попыток по самостоятельному обезвреживанию преступника, особенно при наличии у него сообщников;</w:t>
      </w:r>
    </w:p>
    <w:p w:rsidR="0054239E" w:rsidRPr="0084439D" w:rsidRDefault="0054239E">
      <w:pPr>
        <w:pStyle w:val="20"/>
        <w:ind w:firstLine="900"/>
        <w:rPr>
          <w:color w:val="002060"/>
          <w:sz w:val="28"/>
          <w:szCs w:val="28"/>
        </w:rPr>
      </w:pPr>
      <w:r w:rsidRPr="0084439D">
        <w:rPr>
          <w:color w:val="002060"/>
          <w:sz w:val="28"/>
          <w:szCs w:val="28"/>
        </w:rPr>
        <w:t>- запомнить максимальное количество информации по возникшей ситуации: количество преступников и их приметы, возможные сообщники внутри и вне помещения, планировка помещения и расположение в нем преступников и заложников. Эти сведения могут помочь</w:t>
      </w:r>
      <w:r w:rsidR="00515B3E" w:rsidRPr="0084439D">
        <w:rPr>
          <w:color w:val="002060"/>
          <w:sz w:val="28"/>
          <w:szCs w:val="28"/>
        </w:rPr>
        <w:t>,</w:t>
      </w:r>
      <w:r w:rsidRPr="0084439D">
        <w:rPr>
          <w:color w:val="002060"/>
          <w:sz w:val="28"/>
          <w:szCs w:val="28"/>
        </w:rPr>
        <w:t xml:space="preserve"> как при расследовании преступления, так и в случае освобождения в процессе переговоров части из группы заложников;</w:t>
      </w:r>
    </w:p>
    <w:p w:rsidR="0054239E" w:rsidRPr="0084439D" w:rsidRDefault="0054239E">
      <w:pPr>
        <w:pStyle w:val="20"/>
        <w:ind w:firstLine="900"/>
        <w:rPr>
          <w:color w:val="002060"/>
          <w:sz w:val="28"/>
          <w:szCs w:val="28"/>
        </w:rPr>
      </w:pPr>
      <w:r w:rsidRPr="0084439D">
        <w:rPr>
          <w:color w:val="002060"/>
          <w:sz w:val="28"/>
          <w:szCs w:val="28"/>
        </w:rPr>
        <w:t xml:space="preserve">- постараться избежать </w:t>
      </w:r>
      <w:proofErr w:type="gramStart"/>
      <w:r w:rsidRPr="0084439D">
        <w:rPr>
          <w:color w:val="002060"/>
          <w:sz w:val="28"/>
          <w:szCs w:val="28"/>
        </w:rPr>
        <w:t>возникновения</w:t>
      </w:r>
      <w:proofErr w:type="gramEnd"/>
      <w:r w:rsidRPr="0084439D">
        <w:rPr>
          <w:color w:val="002060"/>
          <w:sz w:val="28"/>
          <w:szCs w:val="28"/>
        </w:rPr>
        <w:t xml:space="preserve"> распространенного в таких случаях так называемого «стокгольмского синдрома», когда у жертвы преступления в силу сложившихся обстоятельств и полной зависимости от террориста меняются местами ценностные ориентиры по отношению к преступнику и правоохранительным органам. Заложник начинает искать оправдание действиям преступника, сочувствовать и стараться угодить ему, в том числе может начать оказывать противодействие тем, кто должен освобождать заложников и такими действиями сорвать операцию по пресечению преступной деятельности. Необходимо четко помнить, что оправдания покушению на жизнь ни в чем не повинных людей нет и не может быть и во всех действиях, которые могут привести к гибели людей, виноват только преступник, осуществивший захват заложников;</w:t>
      </w:r>
    </w:p>
    <w:p w:rsidR="0054239E" w:rsidRPr="0084439D" w:rsidRDefault="0054239E">
      <w:pPr>
        <w:pStyle w:val="20"/>
        <w:ind w:firstLine="900"/>
        <w:rPr>
          <w:color w:val="002060"/>
          <w:sz w:val="28"/>
          <w:szCs w:val="28"/>
        </w:rPr>
      </w:pPr>
      <w:r w:rsidRPr="0084439D">
        <w:rPr>
          <w:color w:val="002060"/>
          <w:sz w:val="28"/>
          <w:szCs w:val="28"/>
        </w:rPr>
        <w:t>- сразу после начала штурма необходимо лечь на пол либо занять иное возможное нейтральное положение и не менять его (не вставать, не двигаться) до разрешения со стороны спецслужб.</w:t>
      </w:r>
    </w:p>
    <w:p w:rsidR="0054239E" w:rsidRDefault="0054239E">
      <w:pPr>
        <w:jc w:val="both"/>
        <w:rPr>
          <w:sz w:val="28"/>
          <w:lang w:val="ru-RU"/>
        </w:rPr>
      </w:pPr>
    </w:p>
    <w:p w:rsidR="0054239E" w:rsidRPr="0084439D" w:rsidRDefault="0054239E">
      <w:pPr>
        <w:pStyle w:val="1"/>
        <w:rPr>
          <w:b/>
          <w:bCs/>
          <w:color w:val="C00000"/>
        </w:rPr>
      </w:pPr>
      <w:r w:rsidRPr="0084439D">
        <w:rPr>
          <w:b/>
          <w:bCs/>
          <w:color w:val="C00000"/>
        </w:rPr>
        <w:t>Признаки подготовки террористического акта</w:t>
      </w:r>
    </w:p>
    <w:p w:rsidR="0054239E" w:rsidRPr="0084439D" w:rsidRDefault="0054239E">
      <w:pPr>
        <w:pStyle w:val="a5"/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</w:rPr>
      </w:pPr>
      <w:r w:rsidRPr="0084439D">
        <w:rPr>
          <w:color w:val="002060"/>
        </w:rPr>
        <w:t>проведение террористами разведки в местах возможного проведения террористических акций;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 xml:space="preserve">появление у объекта лиц, в поведении которых усматривается изучение обстановки в близлежащем окружении, повышенный или слабо мотивированный интерес к аспектам в его </w:t>
      </w:r>
      <w:proofErr w:type="gramStart"/>
      <w:r w:rsidRPr="0084439D">
        <w:rPr>
          <w:color w:val="002060"/>
          <w:sz w:val="28"/>
          <w:lang w:val="ru-RU"/>
        </w:rPr>
        <w:t>деятельности ;</w:t>
      </w:r>
      <w:proofErr w:type="gramEnd"/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lastRenderedPageBreak/>
        <w:t>неоднократное появление подозрительных лиц у выбранных объектов, проведение ими фото или видеосъемки, составление планов, схем, и</w:t>
      </w:r>
      <w:r w:rsidR="00515B3E" w:rsidRPr="0084439D">
        <w:rPr>
          <w:color w:val="002060"/>
          <w:sz w:val="28"/>
          <w:lang w:val="ru-RU"/>
        </w:rPr>
        <w:t xml:space="preserve"> </w:t>
      </w:r>
      <w:r w:rsidRPr="0084439D">
        <w:rPr>
          <w:color w:val="002060"/>
          <w:sz w:val="28"/>
          <w:lang w:val="ru-RU"/>
        </w:rPr>
        <w:t>т.д.;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 xml:space="preserve">необоснованное вступление в контакт с сотрудниками объекта и его охраны, выведывание у них режима работы, выведывание у них режима охраны, порядка доступа, обеспечения безопасности </w:t>
      </w:r>
      <w:r w:rsidR="00515B3E" w:rsidRPr="0084439D">
        <w:rPr>
          <w:color w:val="002060"/>
          <w:sz w:val="28"/>
          <w:lang w:val="ru-RU"/>
        </w:rPr>
        <w:t>другие признаки проведения разведки</w:t>
      </w:r>
      <w:r w:rsidRPr="0084439D">
        <w:rPr>
          <w:color w:val="002060"/>
          <w:sz w:val="28"/>
          <w:lang w:val="ru-RU"/>
        </w:rPr>
        <w:t>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проникновение на чердаки или в подвалы зданий лиц, которые не имеют отношения к их техническому обслуживанию;</w:t>
      </w:r>
    </w:p>
    <w:p w:rsidR="0054239E" w:rsidRPr="0084439D" w:rsidRDefault="0054239E">
      <w:pPr>
        <w:pStyle w:val="3"/>
        <w:rPr>
          <w:color w:val="002060"/>
        </w:rPr>
      </w:pPr>
      <w:r w:rsidRPr="0084439D">
        <w:rPr>
          <w:color w:val="002060"/>
        </w:rPr>
        <w:t>При обнаружении вышеуказанных признаков целесообразно сообщить об этом ближайшему сотруднику милиции, при невозможности – силами охраны объекта установить личность человека, вызвавшего подозрения и причины нахождения в окружении объекта.</w:t>
      </w:r>
    </w:p>
    <w:p w:rsidR="0054239E" w:rsidRDefault="0054239E">
      <w:pPr>
        <w:rPr>
          <w:lang w:val="ru-RU"/>
        </w:rPr>
      </w:pPr>
    </w:p>
    <w:p w:rsidR="0054239E" w:rsidRDefault="0054239E">
      <w:pPr>
        <w:rPr>
          <w:lang w:val="ru-RU"/>
        </w:rPr>
      </w:pPr>
    </w:p>
    <w:p w:rsidR="0054239E" w:rsidRPr="0084439D" w:rsidRDefault="0054239E">
      <w:pPr>
        <w:pStyle w:val="2"/>
        <w:rPr>
          <w:color w:val="C00000"/>
        </w:rPr>
      </w:pPr>
      <w:r w:rsidRPr="0084439D">
        <w:rPr>
          <w:color w:val="C00000"/>
        </w:rPr>
        <w:t>Признаки террориста-смертника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наличие взрывного устройства (сумка, чемодан, детская коляска, и.т.д.; «пояс шахида»);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если взрывное устройство находится в пакете (сумке, рюкзаке и т. д.), то подрывник осторожно относится к переносимым вещам, обычно прижимает их к себе и периодически непроизвольно ощупывает;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приводом детонатора взрывного устройства может служить шнур или провод, зажатый в руке или видимый среди складок одежды, свисающий из рукава;</w:t>
      </w:r>
    </w:p>
    <w:p w:rsidR="0054239E" w:rsidRPr="0084439D" w:rsidRDefault="00515B3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 xml:space="preserve">обычно </w:t>
      </w:r>
      <w:r w:rsidR="0054239E" w:rsidRPr="0084439D">
        <w:rPr>
          <w:color w:val="002060"/>
          <w:sz w:val="28"/>
          <w:lang w:val="ru-RU"/>
        </w:rPr>
        <w:t>возраст 20-35 лет;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отстраненный или напротив, сосредоточенный взгляд;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заметное возбуждение, сопровождаемое обильным выделением пота, а иногда и слюны;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произнесение молитв с переходом на шепот при приближении посторонних;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несоответствие одежды погоде (теплая одежда в жаркую погоду);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у женщин – длинная юбка или платье, косынка с узлом на затылочной части головы;</w:t>
      </w:r>
    </w:p>
    <w:p w:rsidR="0054239E" w:rsidRPr="0084439D" w:rsidRDefault="0054239E">
      <w:pPr>
        <w:numPr>
          <w:ilvl w:val="0"/>
          <w:numId w:val="1"/>
        </w:numPr>
        <w:tabs>
          <w:tab w:val="clear" w:pos="360"/>
          <w:tab w:val="num" w:pos="0"/>
        </w:tabs>
        <w:ind w:left="0" w:firstLine="1125"/>
        <w:jc w:val="both"/>
        <w:rPr>
          <w:color w:val="002060"/>
          <w:sz w:val="28"/>
          <w:lang w:val="ru-RU"/>
        </w:rPr>
      </w:pPr>
      <w:r w:rsidRPr="0084439D">
        <w:rPr>
          <w:color w:val="002060"/>
          <w:sz w:val="28"/>
          <w:lang w:val="ru-RU"/>
        </w:rPr>
        <w:t>у мужчин – идеально чистая обувь, чисто выбриты;</w:t>
      </w:r>
    </w:p>
    <w:p w:rsidR="0054239E" w:rsidRPr="0084439D" w:rsidRDefault="0054239E">
      <w:pPr>
        <w:pStyle w:val="3"/>
        <w:rPr>
          <w:color w:val="002060"/>
        </w:rPr>
      </w:pPr>
      <w:r w:rsidRPr="0084439D">
        <w:rPr>
          <w:color w:val="002060"/>
        </w:rPr>
        <w:t>При обнаружении совокупности вышеуказанных признаков необходимо сообщить об этом в органы МВД</w:t>
      </w:r>
      <w:r w:rsidR="00515B3E" w:rsidRPr="0084439D">
        <w:rPr>
          <w:color w:val="002060"/>
        </w:rPr>
        <w:t xml:space="preserve"> РФ</w:t>
      </w:r>
      <w:r w:rsidRPr="0084439D">
        <w:rPr>
          <w:color w:val="002060"/>
        </w:rPr>
        <w:t>. Самостоятельно никаких действий не принимать, не допускать огласки информации об обнаружении подозрительного лица среди посетителей и посторонних лиц.</w:t>
      </w:r>
    </w:p>
    <w:p w:rsidR="0054239E" w:rsidRPr="0084439D" w:rsidRDefault="0054239E">
      <w:pPr>
        <w:jc w:val="both"/>
        <w:rPr>
          <w:color w:val="002060"/>
          <w:sz w:val="28"/>
          <w:lang w:val="ru-RU"/>
        </w:rPr>
      </w:pPr>
    </w:p>
    <w:sectPr w:rsidR="0054239E" w:rsidRPr="0084439D" w:rsidSect="00A34394">
      <w:pgSz w:w="11906" w:h="16838" w:code="9"/>
      <w:pgMar w:top="1134" w:right="1134" w:bottom="1134" w:left="1134" w:header="0" w:footer="0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6AC4"/>
    <w:multiLevelType w:val="singleLevel"/>
    <w:tmpl w:val="E10E50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2849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3E"/>
    <w:rsid w:val="002F3A97"/>
    <w:rsid w:val="00515B3E"/>
    <w:rsid w:val="0054239E"/>
    <w:rsid w:val="006775BC"/>
    <w:rsid w:val="0084439D"/>
    <w:rsid w:val="008E1229"/>
    <w:rsid w:val="009F228B"/>
    <w:rsid w:val="00A34394"/>
    <w:rsid w:val="00D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389BF-BA50-0F44-B405-619392DA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28"/>
      <w:lang w:val="ru-RU"/>
    </w:rPr>
  </w:style>
  <w:style w:type="paragraph" w:styleId="20">
    <w:name w:val="Body Text Indent 2"/>
    <w:basedOn w:val="a"/>
    <w:pPr>
      <w:ind w:firstLine="360"/>
      <w:jc w:val="both"/>
    </w:pPr>
    <w:rPr>
      <w:sz w:val="30"/>
      <w:szCs w:val="30"/>
      <w:lang w:val="ru-RU"/>
    </w:rPr>
  </w:style>
  <w:style w:type="paragraph" w:styleId="a4">
    <w:name w:val="Body Text"/>
    <w:basedOn w:val="a"/>
    <w:pPr>
      <w:autoSpaceDE w:val="0"/>
      <w:autoSpaceDN w:val="0"/>
      <w:jc w:val="both"/>
    </w:pPr>
    <w:rPr>
      <w:sz w:val="28"/>
      <w:szCs w:val="28"/>
      <w:lang w:val="ru-RU"/>
    </w:rPr>
  </w:style>
  <w:style w:type="paragraph" w:styleId="a5">
    <w:name w:val="Body Text Indent"/>
    <w:basedOn w:val="a"/>
    <w:pPr>
      <w:ind w:firstLine="1125"/>
    </w:pPr>
    <w:rPr>
      <w:sz w:val="28"/>
      <w:lang w:val="ru-RU"/>
    </w:rPr>
  </w:style>
  <w:style w:type="paragraph" w:styleId="3">
    <w:name w:val="Body Text Indent 3"/>
    <w:basedOn w:val="a"/>
    <w:pPr>
      <w:ind w:firstLine="825"/>
      <w:jc w:val="both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АНТИТЕРРОРИСТИЧЕСКАЯ ПАМЯТКА</vt:lpstr>
    </vt:vector>
  </TitlesOfParts>
  <Company>KRU62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АНТИТЕРРОРИСТИЧЕСКАЯ ПАМЯТКА</dc:title>
  <dc:subject/>
  <dc:creator>Jurist_1</dc:creator>
  <cp:keywords/>
  <cp:lastModifiedBy>Ekaterina Ckidan</cp:lastModifiedBy>
  <cp:revision>2</cp:revision>
  <cp:lastPrinted>2024-04-15T14:30:00Z</cp:lastPrinted>
  <dcterms:created xsi:type="dcterms:W3CDTF">2024-04-15T14:31:00Z</dcterms:created>
  <dcterms:modified xsi:type="dcterms:W3CDTF">2024-04-15T14:31:00Z</dcterms:modified>
</cp:coreProperties>
</file>